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FD7DDA" w:rsidRPr="007506A3">
        <w:rPr>
          <w:rFonts w:ascii="Times New Roman" w:hAnsi="Times New Roman" w:cs="Times New Roman"/>
          <w:b/>
          <w:noProof/>
          <w:sz w:val="32"/>
          <w:szCs w:val="32"/>
          <w:lang w:val="nl-NL"/>
        </w:rPr>
        <w:t>Đăng ký lại phương tiện trong trường hợp chuyển quyền sở hữu phương tiện nhưng không thay đổi cơ quan đăng ký phương tiện</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FD7DDA" w:rsidRPr="007506A3">
              <w:rPr>
                <w:noProof/>
                <w:sz w:val="28"/>
                <w:szCs w:val="28"/>
                <w:lang w:val="en-GB"/>
              </w:rPr>
              <w:t>1.004002.000.00.00.H30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FD7DDA"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FD7DDA"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FD7DDA"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FD7DDA"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FD7DDA"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FD7DDA"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FD7DDA" w:rsidRPr="007506A3">
        <w:rPr>
          <w:rFonts w:ascii="Times New Roman" w:hAnsi="Times New Roman" w:cs="Times New Roman"/>
          <w:noProof/>
          <w:color w:val="FF0000"/>
          <w:sz w:val="28"/>
          <w:szCs w:val="28"/>
        </w:rPr>
        <w:t>Đăng ký lại phương tiện trong trường hợp chuyển quyền sở hữu phương tiện nhưng không thay đổi cơ quan đăng ký phương tiện</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FD7DDA" w:rsidRPr="007506A3">
        <w:rPr>
          <w:rFonts w:ascii="Times New Roman" w:hAnsi="Times New Roman" w:cs="Times New Roman"/>
          <w:noProof/>
          <w:color w:val="FF0000"/>
          <w:sz w:val="28"/>
          <w:szCs w:val="28"/>
        </w:rPr>
        <w:t>Đăng ký lại phương tiện trong trường hợp chuyển quyền sở hữu phương tiện nhưng không thay đổi cơ quan đăng ký phương tiện</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D7DDA" w:rsidRPr="007506A3" w:rsidRDefault="000F7E6F" w:rsidP="00FD7DDA">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FD7DDA"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FD7DDA" w:rsidRPr="007506A3" w:rsidRDefault="00DD74CA" w:rsidP="00FD7DDA">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Thành phần hồ sơ gồm:</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lại phương tiện thủy nội địa theo quy định tại Mẫu số 7 - Phụ lục I ban hành kèm theo Thông tư số 75/TT-BGTVT ngày 19/12/2014;</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đăng ký phương tiện thủy nội địa đã được cấp;</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kê khai điều kiện an toàn của phương tiện thủy nội địa theo quy định tại Mẫu số 3 - Phụ lục I ban hành kèm theo Thông tư số 75/TT-BGTVT ngày 19/12/2014, đối với phương tiện không thuộc diện đăng kiểm.</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các loại giấy tờ sau đây để cơ quan đăng ký phương tiện kiểm tra:</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an toàn kỹ thuật và bảo vệ môi trường của phương tiện còn hiệu lực đối với phương tiện thuộc diện đăng kiểm.</w:t>
            </w:r>
          </w:p>
          <w:p w:rsidR="00FD7DDA" w:rsidRPr="007506A3" w:rsidRDefault="00FD7DDA" w:rsidP="00FD7DD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FD7DDA"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FD7DDA" w:rsidRPr="007506A3" w:rsidRDefault="00DD74CA" w:rsidP="00FD7DDA">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FD7DDA" w:rsidRPr="007506A3">
              <w:rPr>
                <w:rFonts w:ascii="Times New Roman" w:hAnsi="Times New Roman" w:cs="Times New Roman"/>
                <w:noProof/>
                <w:color w:val="FF0000"/>
                <w:sz w:val="24"/>
                <w:szCs w:val="24"/>
              </w:rPr>
              <w:t>- Tại điểm d khoản 2 điều 1 của thông tư số 198/2016/TT-BTC ngày 08/11/2016, Quy định mức thu, chế độ thu, nộp, quản lý và sử dụng phí, lệ phí trong lĩnh vực đường thuỷ nội địa và đường sắt.</w:t>
            </w:r>
          </w:p>
          <w:p w:rsidR="00A82580" w:rsidRPr="00F80FA8" w:rsidRDefault="00FD7DDA"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lastRenderedPageBreak/>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lastRenderedPageBreak/>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FD7DDA" w:rsidRPr="007506A3" w:rsidRDefault="00DA4CBF" w:rsidP="00FD7DDA">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FD7DDA" w:rsidRPr="007506A3">
              <w:rPr>
                <w:noProof/>
                <w:sz w:val="20"/>
                <w:szCs w:val="20"/>
              </w:rPr>
              <w:t>Cách 1: Nộp trực tuyến</w:t>
            </w:r>
          </w:p>
          <w:p w:rsidR="00FD7DDA" w:rsidRPr="007506A3" w:rsidRDefault="00FD7DDA" w:rsidP="00FD7DDA">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FD7DDA" w:rsidRPr="007506A3" w:rsidRDefault="00FD7DDA" w:rsidP="00FD7DDA">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FD7DDA"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FD7DDA"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FD7DDA"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FD7DDA"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FD7DDA"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FD7DDA" w:rsidRPr="007506A3">
              <w:rPr>
                <w:rFonts w:ascii="Times New Roman" w:hAnsi="Times New Roman" w:cs="Times New Roman"/>
                <w:bCs/>
                <w:noProof/>
                <w:sz w:val="20"/>
                <w:szCs w:val="20"/>
              </w:rPr>
              <w:t>Đăng ký lại phương tiện trong trường hợp chuyển quyền sở hữu phương tiện nhưng không thay đổi cơ quan đăng ký phương tiện</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FD7DDA"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FD7DDA" w:rsidRPr="007506A3">
              <w:rPr>
                <w:rFonts w:ascii="Times New Roman" w:hAnsi="Times New Roman" w:cs="Times New Roman"/>
                <w:bCs/>
                <w:noProof/>
                <w:sz w:val="20"/>
                <w:szCs w:val="20"/>
              </w:rPr>
              <w:t>Đăng ký lại phương tiện trong trường hợp chuyển quyền sở hữu phương tiện nhưng không thay đổi cơ quan đăng ký phương tiện</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FD7DDA"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FD7DDA" w:rsidRPr="007506A3">
              <w:rPr>
                <w:rFonts w:ascii="Times New Roman" w:hAnsi="Times New Roman" w:cs="Times New Roman"/>
                <w:noProof/>
                <w:sz w:val="20"/>
                <w:szCs w:val="20"/>
              </w:rPr>
              <w:t>1.004002.000.00.00.H30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FD7DDA" w:rsidRPr="007506A3">
              <w:rPr>
                <w:rFonts w:ascii="Times New Roman" w:hAnsi="Times New Roman" w:cs="Times New Roman"/>
                <w:bCs/>
                <w:noProof/>
                <w:sz w:val="20"/>
                <w:szCs w:val="20"/>
              </w:rPr>
              <w:t>Đăng ký lại phương tiện trong trường hợp chuyển quyền sở hữu phương tiện nhưng không thay đổi cơ quan đăng ký phương tiện</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FD7DDA"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FD7DDA"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FD7DDA"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FD7DDA"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FD7DDA"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FD7DDA"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1.004002.000.00.00.H30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1.004002.000.00.00.H30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1.004002.000.00.00.H30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1.004002.000.00.00.H30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Đơn đề nghị cấp lại Giấy chứng nhận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1.004002.000.00.00.H30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FD7DDA"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FD7DDA" w:rsidRPr="007506A3">
        <w:rPr>
          <w:rFonts w:ascii="Times New Roman" w:hAnsi="Times New Roman" w:cs="Times New Roman"/>
          <w:b/>
          <w:noProof/>
          <w:sz w:val="24"/>
          <w:szCs w:val="24"/>
        </w:rPr>
        <w:t>1.004002.000.00.00.H30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FD7DDA" w:rsidRPr="007506A3">
        <w:rPr>
          <w:rFonts w:ascii="Times New Roman" w:hAnsi="Times New Roman" w:cs="Times New Roman"/>
          <w:b/>
          <w:noProof/>
          <w:sz w:val="24"/>
          <w:szCs w:val="24"/>
        </w:rPr>
        <w:t>1.004002.000.00.00.H30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FD7DDA" w:rsidRPr="007506A3">
        <w:rPr>
          <w:rFonts w:ascii="Times New Roman" w:hAnsi="Times New Roman" w:cs="Times New Roman"/>
          <w:b/>
          <w:noProof/>
          <w:sz w:val="24"/>
          <w:szCs w:val="24"/>
        </w:rPr>
        <w:t>1.004002.000.00.00.H30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FD7DDA">
          <w:rPr>
            <w:rFonts w:ascii="Times New Roman" w:hAnsi="Times New Roman" w:cs="Times New Roman"/>
            <w:noProof/>
            <w:sz w:val="24"/>
            <w:szCs w:val="24"/>
          </w:rPr>
          <w:t>12</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FD7DDA" w:rsidP="00DD74CA">
          <w:pPr>
            <w:jc w:val="center"/>
          </w:pPr>
          <w:r>
            <w:fldChar w:fldCharType="begin"/>
          </w:r>
          <w:r>
            <w:instrText xml:space="preserve"> MERGEFIELD Mã_số_TTHC_hay_Mã_DVC_ </w:instrText>
          </w:r>
          <w:r w:rsidR="005172AC">
            <w:fldChar w:fldCharType="separate"/>
          </w:r>
          <w:r w:rsidRPr="007506A3">
            <w:rPr>
              <w:noProof/>
            </w:rPr>
            <w:t>1.004002.000.00.00.H30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FD7DDA" w:rsidP="0066267F">
          <w:pPr>
            <w:pStyle w:val="Header"/>
            <w:jc w:val="center"/>
          </w:pPr>
          <w:r>
            <w:fldChar w:fldCharType="begin"/>
          </w:r>
          <w:r>
            <w:instrText xml:space="preserve"> MERGEFIELD Tên_TTHC </w:instrText>
          </w:r>
          <w:r w:rsidR="005172AC">
            <w:fldChar w:fldCharType="separate"/>
          </w:r>
          <w:r w:rsidRPr="007506A3">
            <w:rPr>
              <w:noProof/>
            </w:rPr>
            <w:t>Đăng ký lại phương tiện trong trường hợp chuyển quyền sở hữu phương tiện nhưng không thay đổi cơ quan đăng ký phương tiện</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09"/>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4AD3-A51A-4FEA-A077-F5F928C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2023-09-28T07:07:00Z</dcterms:created>
  <dcterms:modified xsi:type="dcterms:W3CDTF">2023-09-28T07:07:00Z</dcterms:modified>
</cp:coreProperties>
</file>